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3B3CB8FA" w14:textId="77777777" w:rsidR="002E70F8" w:rsidRDefault="008306E0" w:rsidP="007845EF">
      <w:pPr>
        <w:spacing w:after="0" w:line="240" w:lineRule="auto"/>
        <w:jc w:val="center"/>
        <w:rPr>
          <w:rFonts w:cstheme="minorHAnsi"/>
          <w:b/>
          <w:color w:val="000000" w:themeColor="text1"/>
          <w:sz w:val="28"/>
          <w:szCs w:val="28"/>
        </w:rPr>
      </w:pPr>
      <w:r w:rsidRPr="008306E0">
        <w:rPr>
          <w:rFonts w:cstheme="minorHAnsi"/>
          <w:b/>
          <w:color w:val="000000" w:themeColor="text1"/>
          <w:sz w:val="28"/>
          <w:szCs w:val="28"/>
        </w:rPr>
        <w:t xml:space="preserve">Utility of </w:t>
      </w:r>
      <w:r w:rsidR="002E70F8" w:rsidRPr="008306E0">
        <w:rPr>
          <w:rFonts w:cstheme="minorHAnsi"/>
          <w:b/>
          <w:color w:val="000000" w:themeColor="text1"/>
          <w:sz w:val="28"/>
          <w:szCs w:val="28"/>
        </w:rPr>
        <w:t xml:space="preserve">Polymerase Chain Reaction </w:t>
      </w:r>
      <w:r w:rsidRPr="008306E0">
        <w:rPr>
          <w:rFonts w:cstheme="minorHAnsi"/>
          <w:b/>
          <w:color w:val="000000" w:themeColor="text1"/>
          <w:sz w:val="28"/>
          <w:szCs w:val="28"/>
        </w:rPr>
        <w:t xml:space="preserve">in rapid and reliable diagnosis </w:t>
      </w:r>
    </w:p>
    <w:p w14:paraId="69697536" w14:textId="239110AF" w:rsidR="000C1D52" w:rsidRDefault="008306E0" w:rsidP="007845EF">
      <w:pPr>
        <w:spacing w:after="0" w:line="240" w:lineRule="auto"/>
        <w:jc w:val="center"/>
        <w:rPr>
          <w:rFonts w:cstheme="minorHAnsi"/>
          <w:b/>
          <w:color w:val="000000" w:themeColor="text1"/>
          <w:sz w:val="28"/>
          <w:szCs w:val="28"/>
        </w:rPr>
      </w:pPr>
      <w:r w:rsidRPr="008306E0">
        <w:rPr>
          <w:rFonts w:cstheme="minorHAnsi"/>
          <w:b/>
          <w:color w:val="000000" w:themeColor="text1"/>
          <w:sz w:val="28"/>
          <w:szCs w:val="28"/>
        </w:rPr>
        <w:t>of tuberculosis in high endemic rural settings.</w:t>
      </w:r>
      <w:bookmarkStart w:id="0" w:name="_GoBack"/>
      <w:bookmarkEnd w:id="0"/>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641FC07D" w14:textId="77777777" w:rsidR="002E70F8" w:rsidRDefault="00034DC5" w:rsidP="00025A68">
      <w:pPr>
        <w:pStyle w:val="ListParagraph"/>
        <w:spacing w:after="0" w:line="240" w:lineRule="auto"/>
        <w:ind w:left="0" w:right="27"/>
        <w:jc w:val="center"/>
        <w:rPr>
          <w:rFonts w:eastAsiaTheme="minorHAnsi" w:cstheme="minorHAnsi"/>
          <w:bCs/>
          <w:color w:val="000000" w:themeColor="text1"/>
        </w:rPr>
      </w:pPr>
      <w:r w:rsidRPr="00034DC5">
        <w:rPr>
          <w:rFonts w:eastAsia="Times New Roman" w:cstheme="minorHAnsi"/>
          <w:szCs w:val="20"/>
        </w:rPr>
        <w:t xml:space="preserve"> </w:t>
      </w:r>
      <w:r w:rsidR="008306E0" w:rsidRPr="008306E0">
        <w:rPr>
          <w:rFonts w:eastAsiaTheme="minorHAnsi" w:cstheme="minorHAnsi"/>
          <w:bCs/>
          <w:color w:val="000000" w:themeColor="text1"/>
        </w:rPr>
        <w:t>Muhammad Shafee</w:t>
      </w:r>
      <w:r w:rsidR="008306E0" w:rsidRPr="008306E0">
        <w:rPr>
          <w:rFonts w:eastAsiaTheme="minorHAnsi" w:cstheme="minorHAnsi"/>
          <w:bCs/>
          <w:color w:val="000000" w:themeColor="text1"/>
          <w:vertAlign w:val="superscript"/>
        </w:rPr>
        <w:t>1</w:t>
      </w:r>
      <w:r w:rsidR="008306E0" w:rsidRPr="008306E0">
        <w:rPr>
          <w:rFonts w:eastAsiaTheme="minorHAnsi" w:cstheme="minorHAnsi"/>
          <w:bCs/>
          <w:color w:val="000000" w:themeColor="text1"/>
        </w:rPr>
        <w:t>, Muhammad Naeem</w:t>
      </w:r>
      <w:r w:rsidR="008306E0" w:rsidRPr="008306E0">
        <w:rPr>
          <w:rFonts w:eastAsiaTheme="minorHAnsi" w:cstheme="minorHAnsi"/>
          <w:bCs/>
          <w:color w:val="000000" w:themeColor="text1"/>
          <w:vertAlign w:val="superscript"/>
        </w:rPr>
        <w:t>2</w:t>
      </w:r>
      <w:r w:rsidR="008306E0" w:rsidRPr="008306E0">
        <w:rPr>
          <w:rFonts w:eastAsiaTheme="minorHAnsi" w:cstheme="minorHAnsi"/>
          <w:bCs/>
          <w:color w:val="000000" w:themeColor="text1"/>
        </w:rPr>
        <w:t>, Kaleemullah Mandokheil</w:t>
      </w:r>
      <w:r w:rsidR="008306E0" w:rsidRPr="008306E0">
        <w:rPr>
          <w:rFonts w:eastAsiaTheme="minorHAnsi" w:cstheme="minorHAnsi"/>
          <w:bCs/>
          <w:color w:val="000000" w:themeColor="text1"/>
          <w:vertAlign w:val="superscript"/>
        </w:rPr>
        <w:t>3</w:t>
      </w:r>
      <w:r w:rsidR="008306E0" w:rsidRPr="008306E0">
        <w:rPr>
          <w:rFonts w:eastAsiaTheme="minorHAnsi" w:cstheme="minorHAnsi"/>
          <w:bCs/>
          <w:color w:val="000000" w:themeColor="text1"/>
        </w:rPr>
        <w:t xml:space="preserve">, </w:t>
      </w:r>
    </w:p>
    <w:p w14:paraId="0DC27A41" w14:textId="7640E88E" w:rsidR="00025A68" w:rsidRPr="008306E0" w:rsidRDefault="008306E0" w:rsidP="00025A68">
      <w:pPr>
        <w:pStyle w:val="ListParagraph"/>
        <w:spacing w:after="0" w:line="240" w:lineRule="auto"/>
        <w:ind w:left="0" w:right="27"/>
        <w:jc w:val="center"/>
        <w:rPr>
          <w:rFonts w:cstheme="minorHAnsi"/>
          <w:color w:val="000000" w:themeColor="text1"/>
        </w:rPr>
      </w:pPr>
      <w:r w:rsidRPr="008306E0">
        <w:rPr>
          <w:rFonts w:eastAsiaTheme="minorHAnsi" w:cstheme="minorHAnsi"/>
          <w:bCs/>
          <w:color w:val="000000" w:themeColor="text1"/>
        </w:rPr>
        <w:t>Muhammad Umer</w:t>
      </w:r>
      <w:r w:rsidRPr="008306E0">
        <w:rPr>
          <w:rFonts w:eastAsiaTheme="minorHAnsi" w:cstheme="minorHAnsi"/>
          <w:bCs/>
          <w:color w:val="000000" w:themeColor="text1"/>
          <w:vertAlign w:val="superscript"/>
        </w:rPr>
        <w:t>4</w:t>
      </w:r>
      <w:r w:rsidRPr="008306E0">
        <w:rPr>
          <w:rFonts w:eastAsiaTheme="minorHAnsi" w:cstheme="minorHAnsi"/>
          <w:bCs/>
          <w:color w:val="000000" w:themeColor="text1"/>
        </w:rPr>
        <w:t>, Naimatullah Khan</w:t>
      </w:r>
      <w:r w:rsidRPr="008306E0">
        <w:rPr>
          <w:rFonts w:eastAsiaTheme="minorHAnsi" w:cstheme="minorHAnsi"/>
          <w:bCs/>
          <w:color w:val="000000" w:themeColor="text1"/>
          <w:vertAlign w:val="superscript"/>
        </w:rPr>
        <w:t>5</w:t>
      </w:r>
      <w:r w:rsidRPr="008306E0">
        <w:rPr>
          <w:rFonts w:eastAsiaTheme="minorHAnsi" w:cstheme="minorHAnsi"/>
          <w:bCs/>
          <w:color w:val="000000" w:themeColor="text1"/>
        </w:rPr>
        <w:t>, Fazal ur Rehman</w:t>
      </w:r>
      <w:r w:rsidRPr="008306E0">
        <w:rPr>
          <w:rFonts w:eastAsiaTheme="minorHAnsi" w:cstheme="minorHAnsi"/>
          <w:bCs/>
          <w:color w:val="000000" w:themeColor="text1"/>
          <w:vertAlign w:val="superscript"/>
        </w:rPr>
        <w:t>6</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1AB"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391531" w:rsidRDefault="00BD7616" w:rsidP="007845EF">
      <w:pPr>
        <w:pStyle w:val="Heading2"/>
        <w:spacing w:before="0" w:beforeAutospacing="0" w:after="0" w:afterAutospacing="0"/>
        <w:ind w:right="727"/>
        <w:jc w:val="center"/>
        <w:rPr>
          <w:rFonts w:asciiTheme="minorHAnsi" w:hAnsiTheme="minorHAnsi" w:cstheme="minorHAnsi"/>
          <w:color w:val="000000" w:themeColor="text1"/>
          <w:sz w:val="14"/>
          <w:szCs w:val="20"/>
        </w:rPr>
      </w:pPr>
    </w:p>
    <w:p w14:paraId="3BA981E2" w14:textId="77777777" w:rsidR="00873E1C" w:rsidRPr="00AD0CD4" w:rsidRDefault="00873E1C" w:rsidP="00873E1C">
      <w:pPr>
        <w:tabs>
          <w:tab w:val="left" w:pos="1890"/>
        </w:tabs>
        <w:spacing w:after="0" w:line="240" w:lineRule="auto"/>
        <w:ind w:right="27"/>
        <w:jc w:val="both"/>
        <w:rPr>
          <w:rFonts w:eastAsiaTheme="minorHAnsi" w:cstheme="minorHAnsi"/>
          <w:b/>
          <w:color w:val="000000" w:themeColor="text1"/>
          <w:sz w:val="20"/>
          <w:szCs w:val="20"/>
        </w:rPr>
      </w:pPr>
      <w:r w:rsidRPr="00AD0CD4">
        <w:rPr>
          <w:rFonts w:eastAsiaTheme="minorHAnsi" w:cstheme="minorHAnsi"/>
          <w:b/>
          <w:color w:val="000000" w:themeColor="text1"/>
          <w:sz w:val="20"/>
          <w:szCs w:val="20"/>
        </w:rPr>
        <w:t xml:space="preserve">Objective: </w:t>
      </w:r>
      <w:r w:rsidRPr="00AD0CD4">
        <w:rPr>
          <w:rFonts w:eastAsiaTheme="minorHAnsi" w:cstheme="minorHAnsi"/>
          <w:bCs/>
          <w:color w:val="000000" w:themeColor="text1"/>
          <w:sz w:val="20"/>
          <w:szCs w:val="20"/>
        </w:rPr>
        <w:t>To evaluate the efficacy of conventional Polymerase Chain Reaction using clinical specimens collected directly from suspected tuberculosis patients by targeting IS 6110 sequence gene and to compare it with conventional microscopy and culture inoculation.</w:t>
      </w:r>
      <w:r w:rsidRPr="00AD0CD4">
        <w:rPr>
          <w:rFonts w:eastAsiaTheme="minorHAnsi" w:cstheme="minorHAnsi"/>
          <w:b/>
          <w:color w:val="000000" w:themeColor="text1"/>
          <w:sz w:val="20"/>
          <w:szCs w:val="20"/>
        </w:rPr>
        <w:t xml:space="preserve"> </w:t>
      </w:r>
    </w:p>
    <w:p w14:paraId="70E884AE" w14:textId="77777777" w:rsidR="00873E1C" w:rsidRPr="00AD0CD4" w:rsidRDefault="00873E1C" w:rsidP="00873E1C">
      <w:pPr>
        <w:tabs>
          <w:tab w:val="left" w:pos="1890"/>
        </w:tabs>
        <w:spacing w:after="0" w:line="240" w:lineRule="auto"/>
        <w:ind w:right="27"/>
        <w:jc w:val="both"/>
        <w:rPr>
          <w:rFonts w:eastAsiaTheme="minorHAnsi" w:cstheme="minorHAnsi"/>
          <w:bCs/>
          <w:color w:val="000000" w:themeColor="text1"/>
          <w:sz w:val="20"/>
          <w:szCs w:val="20"/>
        </w:rPr>
      </w:pPr>
      <w:r w:rsidRPr="00AD0CD4">
        <w:rPr>
          <w:rFonts w:eastAsiaTheme="minorHAnsi" w:cstheme="minorHAnsi"/>
          <w:b/>
          <w:color w:val="000000" w:themeColor="text1"/>
          <w:sz w:val="20"/>
          <w:szCs w:val="20"/>
        </w:rPr>
        <w:t xml:space="preserve">Study Design: </w:t>
      </w:r>
      <w:r w:rsidRPr="00AD0CD4">
        <w:rPr>
          <w:rFonts w:eastAsiaTheme="minorHAnsi" w:cstheme="minorHAnsi"/>
          <w:bCs/>
          <w:color w:val="000000" w:themeColor="text1"/>
          <w:sz w:val="20"/>
          <w:szCs w:val="20"/>
        </w:rPr>
        <w:t>A</w:t>
      </w:r>
      <w:r w:rsidRPr="00AD0CD4">
        <w:rPr>
          <w:rFonts w:eastAsiaTheme="minorHAnsi" w:cstheme="minorHAnsi"/>
          <w:b/>
          <w:color w:val="000000" w:themeColor="text1"/>
          <w:sz w:val="20"/>
          <w:szCs w:val="20"/>
        </w:rPr>
        <w:t xml:space="preserve"> </w:t>
      </w:r>
      <w:r w:rsidRPr="00AD0CD4">
        <w:rPr>
          <w:rFonts w:eastAsiaTheme="minorHAnsi" w:cstheme="minorHAnsi"/>
          <w:bCs/>
          <w:color w:val="000000" w:themeColor="text1"/>
          <w:sz w:val="20"/>
          <w:szCs w:val="20"/>
        </w:rPr>
        <w:t xml:space="preserve">cross sectional observational study. </w:t>
      </w:r>
    </w:p>
    <w:p w14:paraId="2336EF4A" w14:textId="40E44569" w:rsidR="00873E1C" w:rsidRPr="00AD0CD4" w:rsidRDefault="00873E1C" w:rsidP="00873E1C">
      <w:pPr>
        <w:tabs>
          <w:tab w:val="left" w:pos="1890"/>
        </w:tabs>
        <w:spacing w:after="0" w:line="240" w:lineRule="auto"/>
        <w:ind w:right="27"/>
        <w:jc w:val="both"/>
        <w:rPr>
          <w:rFonts w:eastAsiaTheme="minorHAnsi" w:cstheme="minorHAnsi"/>
          <w:bCs/>
          <w:color w:val="000000" w:themeColor="text1"/>
          <w:sz w:val="20"/>
          <w:szCs w:val="20"/>
        </w:rPr>
      </w:pPr>
      <w:r w:rsidRPr="00AD0CD4">
        <w:rPr>
          <w:rFonts w:eastAsiaTheme="minorHAnsi" w:cstheme="minorHAnsi"/>
          <w:b/>
          <w:color w:val="000000" w:themeColor="text1"/>
          <w:sz w:val="20"/>
          <w:szCs w:val="20"/>
        </w:rPr>
        <w:t xml:space="preserve">Place and Duration: </w:t>
      </w:r>
      <w:r w:rsidR="00682ADF">
        <w:rPr>
          <w:rFonts w:eastAsiaTheme="minorHAnsi" w:cstheme="minorHAnsi"/>
          <w:bCs/>
          <w:color w:val="000000" w:themeColor="text1"/>
          <w:sz w:val="20"/>
          <w:szCs w:val="20"/>
        </w:rPr>
        <w:t>A</w:t>
      </w:r>
      <w:r w:rsidRPr="00AD0CD4">
        <w:rPr>
          <w:rFonts w:eastAsiaTheme="minorHAnsi" w:cstheme="minorHAnsi"/>
          <w:bCs/>
          <w:color w:val="000000" w:themeColor="text1"/>
          <w:sz w:val="20"/>
          <w:szCs w:val="20"/>
        </w:rPr>
        <w:t>t Fatima Jinnah TB Hospital, Quetta from 1</w:t>
      </w:r>
      <w:r w:rsidRPr="00AD0CD4">
        <w:rPr>
          <w:rFonts w:eastAsiaTheme="minorHAnsi" w:cstheme="minorHAnsi"/>
          <w:bCs/>
          <w:color w:val="000000" w:themeColor="text1"/>
          <w:sz w:val="20"/>
          <w:szCs w:val="20"/>
          <w:vertAlign w:val="superscript"/>
        </w:rPr>
        <w:t>st</w:t>
      </w:r>
      <w:r w:rsidRPr="00AD0CD4">
        <w:rPr>
          <w:rFonts w:eastAsiaTheme="minorHAnsi" w:cstheme="minorHAnsi"/>
          <w:bCs/>
          <w:color w:val="000000" w:themeColor="text1"/>
          <w:sz w:val="20"/>
          <w:szCs w:val="20"/>
        </w:rPr>
        <w:t xml:space="preserve"> </w:t>
      </w:r>
      <w:r w:rsidRPr="00AD0CD4">
        <w:rPr>
          <w:rFonts w:eastAsiaTheme="minorHAnsi" w:cstheme="minorHAnsi"/>
          <w:color w:val="000000" w:themeColor="text1"/>
          <w:sz w:val="20"/>
          <w:szCs w:val="20"/>
        </w:rPr>
        <w:t>Sept 2014 to 28</w:t>
      </w:r>
      <w:r w:rsidR="0030691F" w:rsidRPr="0030691F">
        <w:rPr>
          <w:rFonts w:eastAsiaTheme="minorHAnsi" w:cstheme="minorHAnsi"/>
          <w:color w:val="000000" w:themeColor="text1"/>
          <w:sz w:val="20"/>
          <w:szCs w:val="20"/>
          <w:vertAlign w:val="superscript"/>
        </w:rPr>
        <w:t>th</w:t>
      </w:r>
      <w:r w:rsidR="0030691F">
        <w:rPr>
          <w:rFonts w:eastAsiaTheme="minorHAnsi" w:cstheme="minorHAnsi"/>
          <w:color w:val="000000" w:themeColor="text1"/>
          <w:sz w:val="20"/>
          <w:szCs w:val="20"/>
        </w:rPr>
        <w:t xml:space="preserve"> </w:t>
      </w:r>
      <w:r w:rsidRPr="00AD0CD4">
        <w:rPr>
          <w:rFonts w:eastAsiaTheme="minorHAnsi" w:cstheme="minorHAnsi"/>
          <w:color w:val="000000" w:themeColor="text1"/>
          <w:sz w:val="20"/>
          <w:szCs w:val="20"/>
        </w:rPr>
        <w:t>Feb 2015</w:t>
      </w:r>
      <w:r w:rsidRPr="00AD0CD4">
        <w:rPr>
          <w:rFonts w:eastAsiaTheme="minorHAnsi" w:cstheme="minorHAnsi"/>
          <w:bCs/>
          <w:color w:val="000000" w:themeColor="text1"/>
          <w:sz w:val="20"/>
          <w:szCs w:val="20"/>
        </w:rPr>
        <w:t xml:space="preserve">. </w:t>
      </w:r>
    </w:p>
    <w:p w14:paraId="0D86A8E7" w14:textId="77777777" w:rsidR="00873E1C" w:rsidRPr="00AD0CD4" w:rsidRDefault="00873E1C" w:rsidP="00873E1C">
      <w:pPr>
        <w:tabs>
          <w:tab w:val="left" w:pos="1890"/>
        </w:tabs>
        <w:spacing w:after="0" w:line="240" w:lineRule="auto"/>
        <w:ind w:right="27"/>
        <w:jc w:val="both"/>
        <w:rPr>
          <w:rFonts w:eastAsiaTheme="minorHAnsi" w:cstheme="minorHAnsi"/>
          <w:b/>
          <w:color w:val="000000" w:themeColor="text1"/>
          <w:sz w:val="20"/>
          <w:szCs w:val="20"/>
        </w:rPr>
      </w:pPr>
      <w:r w:rsidRPr="00AD0CD4">
        <w:rPr>
          <w:rFonts w:eastAsiaTheme="minorHAnsi" w:cstheme="minorHAnsi"/>
          <w:b/>
          <w:color w:val="000000" w:themeColor="text1"/>
          <w:sz w:val="20"/>
          <w:szCs w:val="20"/>
        </w:rPr>
        <w:t>Methodology.</w:t>
      </w:r>
      <w:r w:rsidRPr="00AD0CD4">
        <w:rPr>
          <w:rFonts w:eastAsiaTheme="minorHAnsi" w:cstheme="minorHAnsi"/>
          <w:bCs/>
          <w:color w:val="000000" w:themeColor="text1"/>
          <w:sz w:val="20"/>
          <w:szCs w:val="20"/>
        </w:rPr>
        <w:t xml:space="preserve"> In total 200 clinical samples (Pulmonary=180; extra pulmonary=20) were collected from suspected patients visiting hospital.</w:t>
      </w:r>
      <w:r w:rsidRPr="00AD0CD4">
        <w:rPr>
          <w:rFonts w:eastAsiaTheme="minorHAnsi" w:cstheme="minorHAnsi"/>
          <w:b/>
          <w:color w:val="000000" w:themeColor="text1"/>
          <w:sz w:val="20"/>
          <w:szCs w:val="20"/>
        </w:rPr>
        <w:t xml:space="preserve"> </w:t>
      </w:r>
      <w:r w:rsidRPr="00AD0CD4">
        <w:rPr>
          <w:rFonts w:eastAsiaTheme="minorHAnsi" w:cstheme="minorHAnsi"/>
          <w:color w:val="000000" w:themeColor="text1"/>
          <w:sz w:val="20"/>
          <w:szCs w:val="20"/>
        </w:rPr>
        <w:t>All the samples were screened through ZN Microscopy, culture and nucleic acid based Polymerase Chain Reaction was applied directly to the clinical samples.</w:t>
      </w:r>
    </w:p>
    <w:p w14:paraId="020A502E" w14:textId="1047A869" w:rsidR="00873E1C" w:rsidRPr="00AD0CD4" w:rsidRDefault="00873E1C" w:rsidP="00873E1C">
      <w:pPr>
        <w:tabs>
          <w:tab w:val="left" w:pos="1890"/>
        </w:tabs>
        <w:spacing w:after="0" w:line="240" w:lineRule="auto"/>
        <w:ind w:right="27"/>
        <w:jc w:val="both"/>
        <w:rPr>
          <w:rFonts w:eastAsiaTheme="minorHAnsi" w:cstheme="minorHAnsi"/>
          <w:color w:val="000000" w:themeColor="text1"/>
          <w:sz w:val="20"/>
          <w:szCs w:val="20"/>
        </w:rPr>
      </w:pPr>
      <w:r w:rsidRPr="00AD0CD4">
        <w:rPr>
          <w:rFonts w:eastAsiaTheme="minorHAnsi" w:cstheme="minorHAnsi"/>
          <w:b/>
          <w:color w:val="000000" w:themeColor="text1"/>
          <w:sz w:val="20"/>
          <w:szCs w:val="20"/>
        </w:rPr>
        <w:t>Results</w:t>
      </w:r>
      <w:r w:rsidRPr="00AD0CD4">
        <w:rPr>
          <w:rFonts w:eastAsiaTheme="minorHAnsi" w:cstheme="minorHAnsi"/>
          <w:bCs/>
          <w:color w:val="000000" w:themeColor="text1"/>
          <w:sz w:val="20"/>
          <w:szCs w:val="20"/>
        </w:rPr>
        <w:t xml:space="preserve">: </w:t>
      </w:r>
      <w:r w:rsidRPr="00AD0CD4">
        <w:rPr>
          <w:rFonts w:eastAsiaTheme="minorHAnsi" w:cstheme="minorHAnsi"/>
          <w:color w:val="000000" w:themeColor="text1"/>
          <w:sz w:val="20"/>
          <w:szCs w:val="20"/>
        </w:rPr>
        <w:t>Overall, 52.5 % samples were found positive by PCR</w:t>
      </w:r>
      <w:r w:rsidR="0030691F">
        <w:rPr>
          <w:rFonts w:eastAsiaTheme="minorHAnsi" w:cstheme="minorHAnsi"/>
          <w:color w:val="000000" w:themeColor="text1"/>
          <w:sz w:val="20"/>
          <w:szCs w:val="20"/>
        </w:rPr>
        <w:t>,</w:t>
      </w:r>
      <w:r w:rsidRPr="00AD0CD4">
        <w:rPr>
          <w:rFonts w:eastAsiaTheme="minorHAnsi" w:cstheme="minorHAnsi"/>
          <w:color w:val="000000" w:themeColor="text1"/>
          <w:sz w:val="20"/>
          <w:szCs w:val="20"/>
        </w:rPr>
        <w:t xml:space="preserve"> followed by 35.5% with Culture and 24.5 % with ZN microscopy, respectively. Furthermore, PCR also detected more extra pulmonary samples than conventional bascilloscopy. However culture detected non significantly higher number of extra pulmonary samples than PCR. </w:t>
      </w:r>
    </w:p>
    <w:p w14:paraId="60B2B945" w14:textId="0A222C3A" w:rsidR="00873E1C" w:rsidRPr="00AD0CD4" w:rsidRDefault="00AE0678" w:rsidP="00873E1C">
      <w:pPr>
        <w:tabs>
          <w:tab w:val="left" w:pos="1890"/>
        </w:tabs>
        <w:spacing w:after="0" w:line="240" w:lineRule="auto"/>
        <w:ind w:right="27"/>
        <w:jc w:val="both"/>
        <w:rPr>
          <w:rFonts w:eastAsiaTheme="minorHAnsi" w:cstheme="minorHAnsi"/>
          <w:bCs/>
          <w:color w:val="000000" w:themeColor="text1"/>
          <w:sz w:val="20"/>
          <w:szCs w:val="20"/>
        </w:rPr>
      </w:pPr>
      <w:r w:rsidRPr="00AD0CD4">
        <w:rPr>
          <w:rFonts w:eastAsiaTheme="minorHAnsi" w:cstheme="minorHAnsi"/>
          <w:b/>
          <w:color w:val="000000" w:themeColor="text1"/>
          <w:sz w:val="20"/>
          <w:szCs w:val="20"/>
        </w:rPr>
        <w:t>Conclusion</w:t>
      </w:r>
      <w:r w:rsidR="00873E1C" w:rsidRPr="00AD0CD4">
        <w:rPr>
          <w:rFonts w:eastAsiaTheme="minorHAnsi" w:cstheme="minorHAnsi"/>
          <w:b/>
          <w:color w:val="000000" w:themeColor="text1"/>
          <w:sz w:val="20"/>
          <w:szCs w:val="20"/>
        </w:rPr>
        <w:t xml:space="preserve">: </w:t>
      </w:r>
      <w:r w:rsidR="00873E1C" w:rsidRPr="00AD0CD4">
        <w:rPr>
          <w:rFonts w:eastAsiaTheme="minorHAnsi" w:cstheme="minorHAnsi"/>
          <w:bCs/>
          <w:color w:val="000000" w:themeColor="text1"/>
          <w:sz w:val="20"/>
          <w:szCs w:val="20"/>
        </w:rPr>
        <w:t xml:space="preserve">PCR is more reliable for the confirmation of the Mycobacterium tuberculosis complex directly from clinical samples than ZN microscopy and less time consuming than culture technique. </w:t>
      </w:r>
    </w:p>
    <w:p w14:paraId="66D24AD8" w14:textId="38996996" w:rsidR="00AF2FE7" w:rsidRPr="00D453A5" w:rsidRDefault="00873E1C" w:rsidP="00873E1C">
      <w:pPr>
        <w:pStyle w:val="Heading2"/>
        <w:spacing w:before="0" w:beforeAutospacing="0" w:after="0" w:afterAutospacing="0"/>
        <w:jc w:val="both"/>
        <w:rPr>
          <w:rFonts w:asciiTheme="minorHAnsi" w:hAnsiTheme="minorHAnsi" w:cstheme="minorHAnsi"/>
          <w:b w:val="0"/>
          <w:color w:val="000000" w:themeColor="text1"/>
          <w:sz w:val="20"/>
          <w:szCs w:val="20"/>
        </w:rPr>
      </w:pPr>
      <w:r w:rsidRPr="00AD0CD4">
        <w:rPr>
          <w:rFonts w:asciiTheme="minorHAnsi" w:eastAsiaTheme="minorHAnsi" w:hAnsiTheme="minorHAnsi" w:cstheme="minorHAnsi"/>
          <w:color w:val="000000" w:themeColor="text1"/>
          <w:sz w:val="20"/>
          <w:szCs w:val="20"/>
        </w:rPr>
        <w:t xml:space="preserve">Keywords: </w:t>
      </w:r>
      <w:r w:rsidR="0030691F" w:rsidRPr="00873E1C">
        <w:rPr>
          <w:rFonts w:asciiTheme="minorHAnsi" w:eastAsiaTheme="minorHAnsi" w:hAnsiTheme="minorHAnsi" w:cstheme="minorHAnsi"/>
          <w:b w:val="0"/>
          <w:color w:val="000000" w:themeColor="text1"/>
          <w:sz w:val="20"/>
          <w:szCs w:val="20"/>
        </w:rPr>
        <w:t>Tuberculosis</w:t>
      </w:r>
      <w:r w:rsidR="0030691F">
        <w:rPr>
          <w:rFonts w:asciiTheme="minorHAnsi" w:eastAsiaTheme="minorHAnsi" w:hAnsiTheme="minorHAnsi" w:cstheme="minorHAnsi"/>
          <w:b w:val="0"/>
          <w:color w:val="000000" w:themeColor="text1"/>
          <w:sz w:val="20"/>
          <w:szCs w:val="20"/>
        </w:rPr>
        <w:t>, Diagnosis, Endemic area,</w:t>
      </w:r>
      <w:r w:rsidR="0030691F" w:rsidRPr="00873E1C">
        <w:rPr>
          <w:rFonts w:asciiTheme="minorHAnsi" w:eastAsiaTheme="minorHAnsi" w:hAnsiTheme="minorHAnsi" w:cstheme="minorHAnsi"/>
          <w:b w:val="0"/>
          <w:color w:val="000000" w:themeColor="text1"/>
          <w:sz w:val="20"/>
          <w:szCs w:val="20"/>
        </w:rPr>
        <w:t xml:space="preserve"> </w:t>
      </w:r>
      <w:r w:rsidRPr="00873E1C">
        <w:rPr>
          <w:rFonts w:asciiTheme="minorHAnsi" w:eastAsiaTheme="minorHAnsi" w:hAnsiTheme="minorHAnsi" w:cstheme="minorHAnsi"/>
          <w:b w:val="0"/>
          <w:color w:val="000000" w:themeColor="text1"/>
          <w:sz w:val="20"/>
          <w:szCs w:val="20"/>
        </w:rPr>
        <w:t xml:space="preserve">Culture, Sputum, Extrapumonary, </w:t>
      </w:r>
      <w:r w:rsidR="0030691F" w:rsidRPr="00873E1C">
        <w:rPr>
          <w:rFonts w:asciiTheme="minorHAnsi" w:eastAsiaTheme="minorHAnsi" w:hAnsiTheme="minorHAnsi" w:cstheme="minorHAnsi"/>
          <w:b w:val="0"/>
          <w:color w:val="000000" w:themeColor="text1"/>
          <w:sz w:val="20"/>
          <w:szCs w:val="20"/>
        </w:rPr>
        <w:t>PCR</w:t>
      </w:r>
      <w:r w:rsidR="0030691F">
        <w:rPr>
          <w:rFonts w:asciiTheme="minorHAnsi" w:eastAsiaTheme="minorHAnsi" w:hAnsiTheme="minorHAnsi" w:cstheme="minorHAnsi"/>
          <w:b w:val="0"/>
          <w:color w:val="000000" w:themeColor="text1"/>
          <w:sz w:val="20"/>
          <w:szCs w:val="20"/>
        </w:rPr>
        <w:t>,</w:t>
      </w:r>
      <w:r w:rsidR="0030691F" w:rsidRPr="00873E1C">
        <w:rPr>
          <w:rFonts w:asciiTheme="minorHAnsi" w:eastAsiaTheme="minorHAnsi" w:hAnsiTheme="minorHAnsi" w:cstheme="minorHAnsi"/>
          <w:b w:val="0"/>
          <w:color w:val="000000" w:themeColor="text1"/>
          <w:sz w:val="20"/>
          <w:szCs w:val="20"/>
        </w:rPr>
        <w:t xml:space="preserve"> </w:t>
      </w:r>
      <w:r w:rsidR="0030691F">
        <w:rPr>
          <w:rFonts w:asciiTheme="minorHAnsi" w:eastAsiaTheme="minorHAnsi" w:hAnsiTheme="minorHAnsi" w:cstheme="minorHAnsi"/>
          <w:b w:val="0"/>
          <w:color w:val="000000" w:themeColor="text1"/>
          <w:sz w:val="20"/>
          <w:szCs w:val="20"/>
        </w:rPr>
        <w:t>IS 6110 gene</w:t>
      </w:r>
    </w:p>
    <w:p w14:paraId="49A6AC0E" w14:textId="77777777" w:rsidR="00681357" w:rsidRPr="00391531" w:rsidRDefault="00681357" w:rsidP="007845EF">
      <w:pPr>
        <w:spacing w:after="0" w:line="240" w:lineRule="auto"/>
        <w:jc w:val="both"/>
        <w:rPr>
          <w:rFonts w:cstheme="minorHAnsi"/>
          <w:sz w:val="14"/>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7B0B5A16" w:rsidR="00AF2FE7" w:rsidRPr="00034DC5" w:rsidRDefault="00B8317E" w:rsidP="00034DC5">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E10714A">
                <wp:simplePos x="0" y="0"/>
                <wp:positionH relativeFrom="margin">
                  <wp:posOffset>-19050</wp:posOffset>
                </wp:positionH>
                <wp:positionV relativeFrom="paragraph">
                  <wp:posOffset>349250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75B2"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" strokecolor="#231f20" strokeweight=".5pt">
                <w10:wrap type="topAndBottom" anchorx="margin"/>
              </v:line>
            </w:pict>
          </mc:Fallback>
        </mc:AlternateContent>
      </w:r>
      <w:r w:rsidR="00873E1C" w:rsidRPr="00AD0CD4">
        <w:rPr>
          <w:rFonts w:cstheme="minorHAnsi"/>
          <w:kern w:val="24"/>
          <w:sz w:val="20"/>
          <w:szCs w:val="20"/>
          <w:lang w:val="en-GB"/>
        </w:rPr>
        <w:t>Shafee M, Naeem M, Mandokheil K, Umar M, Rehman FU, Khan N</w:t>
      </w:r>
      <w:r w:rsidR="00873E1C" w:rsidRPr="00AD0CD4">
        <w:rPr>
          <w:rFonts w:cstheme="minorHAnsi"/>
          <w:sz w:val="20"/>
          <w:szCs w:val="20"/>
        </w:rPr>
        <w:t xml:space="preserve">. </w:t>
      </w:r>
      <w:r w:rsidR="00873E1C" w:rsidRPr="00AD0CD4">
        <w:rPr>
          <w:rFonts w:cstheme="minorHAnsi"/>
          <w:bCs/>
          <w:sz w:val="20"/>
          <w:szCs w:val="20"/>
        </w:rPr>
        <w:t xml:space="preserve">Utility of </w:t>
      </w:r>
      <w:r w:rsidR="00D059B3" w:rsidRPr="00AD0CD4">
        <w:rPr>
          <w:rFonts w:cstheme="minorHAnsi"/>
          <w:bCs/>
          <w:sz w:val="20"/>
          <w:szCs w:val="20"/>
        </w:rPr>
        <w:t xml:space="preserve">Polymerase Chain Reaction </w:t>
      </w:r>
      <w:r w:rsidR="00873E1C" w:rsidRPr="00AD0CD4">
        <w:rPr>
          <w:rFonts w:cstheme="minorHAnsi"/>
          <w:bCs/>
          <w:sz w:val="20"/>
          <w:szCs w:val="20"/>
        </w:rPr>
        <w:t>in rapid and reliable diagnosis of tuberculosis in high endemic rural settings.</w:t>
      </w:r>
      <w:r w:rsidR="00873E1C" w:rsidRPr="00AD0CD4">
        <w:rPr>
          <w:rFonts w:cstheme="minorHAnsi"/>
          <w:b/>
          <w:bCs/>
          <w:sz w:val="20"/>
          <w:szCs w:val="20"/>
        </w:rPr>
        <w:t xml:space="preserve"> </w:t>
      </w:r>
      <w:r w:rsidR="00873E1C" w:rsidRPr="00AD0CD4">
        <w:rPr>
          <w:rFonts w:cstheme="minorHAnsi"/>
          <w:sz w:val="20"/>
          <w:szCs w:val="20"/>
        </w:rPr>
        <w:t xml:space="preserve">Isra Med J. 2019; 11(4): </w:t>
      </w:r>
      <w:r w:rsidR="001B37CE">
        <w:rPr>
          <w:rFonts w:cstheme="minorHAnsi"/>
          <w:sz w:val="20"/>
          <w:szCs w:val="20"/>
        </w:rPr>
        <w:t>222</w:t>
      </w:r>
      <w:r w:rsidR="00873E1C" w:rsidRPr="00AD0CD4">
        <w:rPr>
          <w:rFonts w:cstheme="minorHAnsi"/>
          <w:sz w:val="20"/>
          <w:szCs w:val="20"/>
        </w:rPr>
        <w:t>-</w:t>
      </w:r>
      <w:r w:rsidR="001B37CE">
        <w:rPr>
          <w:rFonts w:cstheme="minorHAnsi"/>
          <w:sz w:val="20"/>
          <w:szCs w:val="20"/>
        </w:rPr>
        <w:t>225</w:t>
      </w:r>
      <w:r w:rsidR="00873E1C" w:rsidRPr="00AD0CD4">
        <w:rPr>
          <w:rFonts w:cstheme="minorHAnsi"/>
          <w:sz w:val="20"/>
          <w:szCs w:val="20"/>
        </w:rPr>
        <w:t>.</w:t>
      </w:r>
    </w:p>
    <w:p w14:paraId="61969AB9" w14:textId="51AE2908" w:rsidR="002F70DA" w:rsidRPr="009505C3" w:rsidRDefault="00B8317E" w:rsidP="009505C3">
      <w:pPr>
        <w:pStyle w:val="Normalverdan"/>
        <w:spacing w:before="0" w:beforeAutospacing="0" w:after="0" w:afterAutospacing="0" w:line="240" w:lineRule="auto"/>
        <w:rPr>
          <w:rFonts w:asciiTheme="minorHAnsi" w:hAnsiTheme="minorHAnsi" w:cstheme="minorHAnsi"/>
          <w:b w:val="0"/>
          <w:sz w:val="6"/>
          <w:szCs w:val="18"/>
        </w:rPr>
        <w:sectPr w:rsidR="002F70DA" w:rsidRPr="009505C3" w:rsidSect="001B37CE">
          <w:headerReference w:type="default" r:id="rId7"/>
          <w:footerReference w:type="default" r:id="rId8"/>
          <w:pgSz w:w="12240" w:h="15840" w:code="1"/>
          <w:pgMar w:top="1080" w:right="720" w:bottom="720" w:left="720" w:header="547" w:footer="360" w:gutter="0"/>
          <w:pgNumType w:start="222"/>
          <w:cols w:space="720"/>
          <w:docGrid w:linePitch="360"/>
        </w:sect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52EF33F8">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B04B5"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703353F0"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62AA50FC" w14:textId="77777777" w:rsidR="004658A8" w:rsidRPr="009505C3" w:rsidRDefault="004658A8" w:rsidP="00DC3D40">
      <w:pPr>
        <w:pStyle w:val="Heading1"/>
        <w:spacing w:before="0" w:line="240" w:lineRule="auto"/>
        <w:jc w:val="center"/>
        <w:rPr>
          <w:rFonts w:eastAsia="Times New Roman" w:cstheme="minorHAnsi"/>
          <w:color w:val="000000" w:themeColor="text1"/>
          <w:sz w:val="20"/>
          <w:szCs w:val="20"/>
        </w:rPr>
      </w:pPr>
    </w:p>
    <w:sectPr w:rsidR="004658A8" w:rsidRPr="009505C3" w:rsidSect="00DC3D40">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56D2" w14:textId="77777777" w:rsidR="00392D2D" w:rsidRDefault="00392D2D" w:rsidP="00332CAE">
      <w:pPr>
        <w:spacing w:after="0" w:line="240" w:lineRule="auto"/>
      </w:pPr>
      <w:r>
        <w:separator/>
      </w:r>
    </w:p>
  </w:endnote>
  <w:endnote w:type="continuationSeparator" w:id="0">
    <w:p w14:paraId="0A186EE1" w14:textId="77777777" w:rsidR="00392D2D" w:rsidRDefault="00392D2D"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1E741E9B" w:rsidR="00992FDA" w:rsidRPr="007877E5" w:rsidRDefault="001B37CE" w:rsidP="00BE20F1">
    <w:pPr>
      <w:pStyle w:val="Footer"/>
      <w:jc w:val="center"/>
      <w:rPr>
        <w:rFonts w:ascii="Arial" w:hAnsi="Arial" w:cs="Arial"/>
      </w:rPr>
    </w:pPr>
    <w:r w:rsidRPr="001B37CE">
      <w:rPr>
        <w:rFonts w:ascii="Arial" w:hAnsi="Arial" w:cs="Arial"/>
      </w:rPr>
      <w:fldChar w:fldCharType="begin"/>
    </w:r>
    <w:r w:rsidRPr="001B37CE">
      <w:rPr>
        <w:rFonts w:ascii="Arial" w:hAnsi="Arial" w:cs="Arial"/>
      </w:rPr>
      <w:instrText xml:space="preserve"> PAGE   \* MERGEFORMAT </w:instrText>
    </w:r>
    <w:r w:rsidRPr="001B37CE">
      <w:rPr>
        <w:rFonts w:ascii="Arial" w:hAnsi="Arial" w:cs="Arial"/>
      </w:rPr>
      <w:fldChar w:fldCharType="separate"/>
    </w:r>
    <w:r w:rsidR="00DC3D40">
      <w:rPr>
        <w:rFonts w:ascii="Arial" w:hAnsi="Arial" w:cs="Arial"/>
        <w:noProof/>
      </w:rPr>
      <w:t>222</w:t>
    </w:r>
    <w:r w:rsidRPr="001B37CE">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964F0"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CD23" w14:textId="77777777" w:rsidR="00392D2D" w:rsidRDefault="00392D2D" w:rsidP="00332CAE">
      <w:pPr>
        <w:spacing w:after="0" w:line="240" w:lineRule="auto"/>
      </w:pPr>
      <w:r>
        <w:separator/>
      </w:r>
    </w:p>
  </w:footnote>
  <w:footnote w:type="continuationSeparator" w:id="0">
    <w:p w14:paraId="3AA0A40F" w14:textId="77777777" w:rsidR="00392D2D" w:rsidRDefault="00392D2D"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43B3B904"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B43C"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92FDA" w:rsidRPr="00596EA1">
      <w:rPr>
        <w:rFonts w:ascii="Arial" w:hAnsi="Arial"/>
        <w:color w:val="231F20"/>
        <w:position w:val="-3"/>
        <w:sz w:val="28"/>
      </w:rPr>
      <w:t>ORIGINAL</w:t>
    </w:r>
    <w:r w:rsidR="00992FDA" w:rsidRPr="00596EA1">
      <w:rPr>
        <w:rFonts w:ascii="Arial" w:hAnsi="Arial"/>
        <w:color w:val="231F20"/>
        <w:spacing w:val="-28"/>
        <w:position w:val="-3"/>
        <w:sz w:val="28"/>
      </w:rPr>
      <w:t xml:space="preserve"> </w:t>
    </w:r>
    <w:r w:rsidR="00992FDA" w:rsidRPr="00596EA1">
      <w:rPr>
        <w:rFonts w:ascii="Arial" w:hAnsi="Arial"/>
        <w:color w:val="231F20"/>
        <w:position w:val="-3"/>
        <w:sz w:val="28"/>
      </w:rPr>
      <w:t>ARTICLE</w:t>
    </w:r>
    <w:r w:rsidR="00992FDA">
      <w:rPr>
        <w:rFonts w:ascii="Arial"/>
        <w:color w:val="231F20"/>
        <w:position w:val="-3"/>
        <w:sz w:val="28"/>
      </w:rPr>
      <w:t xml:space="preserve">                                  </w:t>
    </w:r>
    <w:r w:rsidR="00596EA1">
      <w:rPr>
        <w:rFonts w:ascii="Arial"/>
        <w:color w:val="231F20"/>
        <w:position w:val="-3"/>
        <w:sz w:val="28"/>
      </w:rPr>
      <w:t xml:space="preserve"> </w:t>
    </w:r>
    <w:r w:rsidR="0096527C">
      <w:rPr>
        <w:rFonts w:ascii="Arial"/>
        <w:color w:val="231F20"/>
        <w:position w:val="-3"/>
        <w:sz w:val="28"/>
      </w:rPr>
      <w:t xml:space="preserve"> </w:t>
    </w:r>
    <w:r w:rsidR="00596EA1">
      <w:rPr>
        <w:rFonts w:ascii="Arial"/>
        <w:color w:val="231F20"/>
        <w:position w:val="-3"/>
        <w:sz w:val="28"/>
      </w:rPr>
      <w:t xml:space="preserve"> </w:t>
    </w:r>
    <w:r w:rsidR="0053795B">
      <w:rPr>
        <w:rFonts w:ascii="Arial"/>
        <w:color w:val="231F20"/>
        <w:position w:val="-3"/>
        <w:sz w:val="28"/>
      </w:rPr>
      <w:tab/>
    </w:r>
    <w:r w:rsidR="0053795B">
      <w:rPr>
        <w:rFonts w:ascii="Arial"/>
        <w:color w:val="231F20"/>
        <w:position w:val="-3"/>
        <w:sz w:val="28"/>
      </w:rPr>
      <w:tab/>
      <w:t xml:space="preserve">   </w:t>
    </w:r>
    <w:r w:rsidR="004019D1">
      <w:rPr>
        <w:rFonts w:ascii="Arial"/>
        <w:color w:val="231F20"/>
        <w:position w:val="-3"/>
        <w:sz w:val="28"/>
      </w:rPr>
      <w:t xml:space="preserve">     </w:t>
    </w:r>
    <w:r w:rsidR="0053795B" w:rsidRPr="004019D1">
      <w:rPr>
        <w:rFonts w:ascii="Arial"/>
        <w:color w:val="231F20"/>
        <w:sz w:val="18"/>
      </w:rPr>
      <w:t>Isra</w:t>
    </w:r>
    <w:r w:rsidR="00A94599" w:rsidRPr="004019D1">
      <w:rPr>
        <w:rFonts w:ascii="Arial"/>
        <w:color w:val="231F20"/>
        <w:sz w:val="18"/>
      </w:rPr>
      <w:t xml:space="preserve"> M</w:t>
    </w:r>
    <w:r w:rsidR="0053795B" w:rsidRPr="004019D1">
      <w:rPr>
        <w:rFonts w:ascii="Arial"/>
        <w:color w:val="231F20"/>
        <w:sz w:val="18"/>
      </w:rPr>
      <w:t>ed</w:t>
    </w:r>
    <w:r w:rsidR="00A94599" w:rsidRPr="004019D1">
      <w:rPr>
        <w:rFonts w:ascii="Arial"/>
        <w:color w:val="231F20"/>
        <w:sz w:val="18"/>
      </w:rPr>
      <w:t xml:space="preserve"> J</w:t>
    </w:r>
    <w:r w:rsidR="0053795B" w:rsidRPr="004019D1">
      <w:rPr>
        <w:rFonts w:ascii="Arial"/>
        <w:color w:val="231F20"/>
        <w:sz w:val="18"/>
      </w:rPr>
      <w:t>.</w:t>
    </w:r>
    <w:r w:rsidR="00A94599" w:rsidRPr="00596EA1">
      <w:rPr>
        <w:rFonts w:ascii="Arial"/>
        <w:b/>
        <w:color w:val="231F20"/>
        <w:sz w:val="18"/>
      </w:rPr>
      <w:t xml:space="preserve"> </w:t>
    </w:r>
    <w:r w:rsidR="004019D1">
      <w:rPr>
        <w:rFonts w:ascii="Arial"/>
        <w:color w:val="231F20"/>
        <w:sz w:val="18"/>
      </w:rPr>
      <w:t>| Vol</w:t>
    </w:r>
    <w:r w:rsidR="00992FDA" w:rsidRPr="00596EA1">
      <w:rPr>
        <w:rFonts w:ascii="Arial"/>
        <w:color w:val="231F20"/>
        <w:sz w:val="18"/>
      </w:rPr>
      <w:t xml:space="preserve"> 1</w:t>
    </w:r>
    <w:r w:rsidR="00F34497" w:rsidRPr="00596EA1">
      <w:rPr>
        <w:rFonts w:ascii="Arial"/>
        <w:color w:val="231F20"/>
        <w:sz w:val="18"/>
      </w:rPr>
      <w:t>1</w:t>
    </w:r>
    <w:r w:rsidR="00992FDA" w:rsidRPr="00596EA1">
      <w:rPr>
        <w:rFonts w:ascii="Arial"/>
        <w:color w:val="231F20"/>
        <w:sz w:val="18"/>
      </w:rPr>
      <w:t xml:space="preserve"> - Issue </w:t>
    </w:r>
    <w:r w:rsidR="0096527C">
      <w:rPr>
        <w:rFonts w:ascii="Arial"/>
        <w:color w:val="231F20"/>
        <w:sz w:val="18"/>
      </w:rPr>
      <w:t>4</w:t>
    </w:r>
    <w:r w:rsidR="00A94599" w:rsidRPr="00596EA1">
      <w:rPr>
        <w:rFonts w:ascii="Arial"/>
        <w:color w:val="231F20"/>
        <w:sz w:val="18"/>
      </w:rPr>
      <w:t xml:space="preserve"> | </w:t>
    </w:r>
    <w:r w:rsidR="0096527C">
      <w:rPr>
        <w:rFonts w:ascii="Arial"/>
        <w:color w:val="231F20"/>
        <w:sz w:val="18"/>
      </w:rPr>
      <w:t>Jul</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96527C">
      <w:rPr>
        <w:rFonts w:ascii="Arial"/>
        <w:color w:val="231F20"/>
        <w:sz w:val="18"/>
      </w:rPr>
      <w:t>Aug</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4E2286E2" w:rsidR="00992FDA" w:rsidRPr="00000F7D" w:rsidRDefault="0096527C" w:rsidP="00737E36">
    <w:pPr>
      <w:tabs>
        <w:tab w:val="left" w:pos="5030"/>
      </w:tabs>
      <w:spacing w:before="69" w:after="7"/>
      <w:rPr>
        <w:rFonts w:ascii="Arial"/>
        <w:sz w:val="18"/>
      </w:rPr>
    </w:pPr>
    <w:r w:rsidRPr="0096527C">
      <w:rPr>
        <w:rFonts w:ascii="Arial" w:eastAsiaTheme="minorHAnsi" w:hAnsi="Arial" w:cs="Arial"/>
        <w:bCs/>
        <w:color w:val="000000" w:themeColor="text1"/>
        <w:sz w:val="18"/>
        <w:szCs w:val="18"/>
      </w:rPr>
      <w:t>Muhammad Shafee</w:t>
    </w:r>
    <w:r w:rsidR="00414568" w:rsidRPr="0096527C">
      <w:rPr>
        <w:rFonts w:ascii="Arial" w:hAnsi="Arial" w:cs="Arial"/>
        <w:noProof/>
        <w:sz w:val="18"/>
        <w:szCs w:val="18"/>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Pr>
        <w:rFonts w:ascii="Arial"/>
        <w:b/>
        <w:color w:val="231F20"/>
        <w:sz w:val="18"/>
      </w:rPr>
      <w:t xml:space="preserve">    </w:t>
    </w:r>
    <w:r w:rsidR="0053795B">
      <w:rPr>
        <w:rFonts w:ascii="Arial"/>
        <w:b/>
        <w:color w:val="231F20"/>
        <w:sz w:val="18"/>
      </w:rPr>
      <w:tab/>
    </w:r>
    <w:r w:rsidR="0053795B">
      <w:rPr>
        <w:rFonts w:ascii="Arial"/>
        <w:b/>
        <w:color w:val="231F20"/>
        <w:sz w:val="18"/>
      </w:rPr>
      <w:tab/>
    </w:r>
    <w:r w:rsidR="0053795B" w:rsidRPr="004019D1">
      <w:rPr>
        <w:rFonts w:ascii="Arial"/>
        <w:color w:val="231F20"/>
        <w:sz w:val="18"/>
      </w:rPr>
      <w:t xml:space="preserve">      </w:t>
    </w:r>
    <w:r w:rsidR="004019D1">
      <w:rPr>
        <w:rFonts w:ascii="Arial"/>
        <w:color w:val="231F20"/>
        <w:sz w:val="18"/>
      </w:rPr>
      <w:t xml:space="preserve">       </w:t>
    </w:r>
    <w:r w:rsidR="00992FDA" w:rsidRPr="004019D1">
      <w:rPr>
        <w:rFonts w:ascii="Arial"/>
        <w:color w:val="231F20"/>
        <w:sz w:val="18"/>
      </w:rPr>
      <w:t>I</w:t>
    </w:r>
    <w:r w:rsidR="0053795B" w:rsidRPr="004019D1">
      <w:rPr>
        <w:rFonts w:ascii="Arial"/>
        <w:color w:val="231F20"/>
        <w:sz w:val="18"/>
      </w:rPr>
      <w:t>sra</w:t>
    </w:r>
    <w:r w:rsidR="00992FDA" w:rsidRPr="004019D1">
      <w:rPr>
        <w:rFonts w:ascii="Arial"/>
        <w:color w:val="231F20"/>
        <w:sz w:val="18"/>
      </w:rPr>
      <w:t xml:space="preserve"> M</w:t>
    </w:r>
    <w:r w:rsidR="0053795B" w:rsidRPr="004019D1">
      <w:rPr>
        <w:rFonts w:ascii="Arial"/>
        <w:color w:val="231F20"/>
        <w:sz w:val="18"/>
      </w:rPr>
      <w:t>ed</w:t>
    </w:r>
    <w:r w:rsidR="00992FDA" w:rsidRPr="004019D1">
      <w:rPr>
        <w:rFonts w:ascii="Arial"/>
        <w:color w:val="231F20"/>
        <w:sz w:val="18"/>
      </w:rPr>
      <w:t xml:space="preserve"> J</w:t>
    </w:r>
    <w:r w:rsidR="0053795B" w:rsidRPr="004019D1">
      <w:rPr>
        <w:rFonts w:ascii="Arial"/>
        <w:color w:val="231F20"/>
        <w:sz w:val="18"/>
      </w:rPr>
      <w:t>.</w:t>
    </w:r>
    <w:r w:rsidR="00992FDA">
      <w:rPr>
        <w:rFonts w:ascii="Arial"/>
        <w:b/>
        <w:color w:val="231F20"/>
        <w:sz w:val="18"/>
      </w:rPr>
      <w:t xml:space="preserve"> </w:t>
    </w:r>
    <w:r w:rsidR="00992FDA">
      <w:rPr>
        <w:rFonts w:ascii="Arial"/>
        <w:color w:val="231F20"/>
        <w:sz w:val="18"/>
      </w:rPr>
      <w:t>| Vol 1</w:t>
    </w:r>
    <w:r w:rsidR="00286BC8">
      <w:rPr>
        <w:rFonts w:ascii="Arial"/>
        <w:color w:val="231F20"/>
        <w:sz w:val="18"/>
      </w:rPr>
      <w:t>1</w:t>
    </w:r>
    <w:r w:rsidR="00992FDA">
      <w:rPr>
        <w:rFonts w:ascii="Arial"/>
        <w:color w:val="231F20"/>
        <w:sz w:val="18"/>
      </w:rPr>
      <w:t xml:space="preserve"> - Issue </w:t>
    </w:r>
    <w:r>
      <w:rPr>
        <w:rFonts w:ascii="Arial"/>
        <w:color w:val="231F20"/>
        <w:sz w:val="18"/>
      </w:rPr>
      <w:t>4</w:t>
    </w:r>
    <w:r w:rsidR="00BB312B">
      <w:rPr>
        <w:rFonts w:ascii="Arial"/>
        <w:color w:val="231F20"/>
        <w:sz w:val="18"/>
      </w:rPr>
      <w:t xml:space="preserve"> | </w:t>
    </w:r>
    <w:r>
      <w:rPr>
        <w:rFonts w:ascii="Arial"/>
        <w:color w:val="231F20"/>
        <w:sz w:val="18"/>
      </w:rPr>
      <w:t>Jul</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Pr>
        <w:rFonts w:ascii="Arial"/>
        <w:color w:val="231F20"/>
        <w:sz w:val="18"/>
      </w:rPr>
      <w:t>Aug</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12EB8"/>
    <w:multiLevelType w:val="hybridMultilevel"/>
    <w:tmpl w:val="9D0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F19C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DC2426"/>
    <w:multiLevelType w:val="hybridMultilevel"/>
    <w:tmpl w:val="FC2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434B9"/>
    <w:multiLevelType w:val="hybridMultilevel"/>
    <w:tmpl w:val="098A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307838"/>
    <w:multiLevelType w:val="hybridMultilevel"/>
    <w:tmpl w:val="2660AF74"/>
    <w:lvl w:ilvl="0" w:tplc="79EE1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5807"/>
    <w:multiLevelType w:val="hybridMultilevel"/>
    <w:tmpl w:val="9CAE5B18"/>
    <w:lvl w:ilvl="0" w:tplc="A8AECB4C">
      <w:start w:val="1"/>
      <w:numFmt w:val="decimal"/>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D234B"/>
    <w:multiLevelType w:val="multilevel"/>
    <w:tmpl w:val="565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B2454"/>
    <w:multiLevelType w:val="hybridMultilevel"/>
    <w:tmpl w:val="BDF04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DD627B"/>
    <w:multiLevelType w:val="hybridMultilevel"/>
    <w:tmpl w:val="2C1EF7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8">
    <w:nsid w:val="4D0907B9"/>
    <w:multiLevelType w:val="hybridMultilevel"/>
    <w:tmpl w:val="07BC1156"/>
    <w:lvl w:ilvl="0" w:tplc="5734E16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B456B7"/>
    <w:multiLevelType w:val="hybridMultilevel"/>
    <w:tmpl w:val="0AA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50461"/>
    <w:multiLevelType w:val="hybridMultilevel"/>
    <w:tmpl w:val="39467E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363A18"/>
    <w:multiLevelType w:val="hybridMultilevel"/>
    <w:tmpl w:val="DCCAB1E6"/>
    <w:lvl w:ilvl="0" w:tplc="FD9CEA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E76FE0"/>
    <w:multiLevelType w:val="hybridMultilevel"/>
    <w:tmpl w:val="94D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E827D8"/>
    <w:multiLevelType w:val="hybridMultilevel"/>
    <w:tmpl w:val="907AFEF2"/>
    <w:lvl w:ilvl="0" w:tplc="AAC83992">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748F61E5"/>
    <w:multiLevelType w:val="hybridMultilevel"/>
    <w:tmpl w:val="06960C4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D23E47"/>
    <w:multiLevelType w:val="hybridMultilevel"/>
    <w:tmpl w:val="F228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4"/>
  </w:num>
  <w:num w:numId="3">
    <w:abstractNumId w:val="13"/>
  </w:num>
  <w:num w:numId="4">
    <w:abstractNumId w:val="37"/>
  </w:num>
  <w:num w:numId="5">
    <w:abstractNumId w:val="29"/>
  </w:num>
  <w:num w:numId="6">
    <w:abstractNumId w:val="2"/>
  </w:num>
  <w:num w:numId="7">
    <w:abstractNumId w:val="24"/>
  </w:num>
  <w:num w:numId="8">
    <w:abstractNumId w:val="31"/>
  </w:num>
  <w:num w:numId="9">
    <w:abstractNumId w:val="22"/>
  </w:num>
  <w:num w:numId="10">
    <w:abstractNumId w:val="11"/>
  </w:num>
  <w:num w:numId="11">
    <w:abstractNumId w:val="46"/>
  </w:num>
  <w:num w:numId="12">
    <w:abstractNumId w:val="21"/>
  </w:num>
  <w:num w:numId="13">
    <w:abstractNumId w:val="30"/>
  </w:num>
  <w:num w:numId="14">
    <w:abstractNumId w:val="34"/>
  </w:num>
  <w:num w:numId="15">
    <w:abstractNumId w:val="3"/>
  </w:num>
  <w:num w:numId="16">
    <w:abstractNumId w:val="4"/>
  </w:num>
  <w:num w:numId="17">
    <w:abstractNumId w:val="25"/>
  </w:num>
  <w:num w:numId="18">
    <w:abstractNumId w:val="12"/>
  </w:num>
  <w:num w:numId="19">
    <w:abstractNumId w:val="40"/>
  </w:num>
  <w:num w:numId="20">
    <w:abstractNumId w:val="3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2"/>
  </w:num>
  <w:num w:numId="24">
    <w:abstractNumId w:val="10"/>
  </w:num>
  <w:num w:numId="25">
    <w:abstractNumId w:val="5"/>
  </w:num>
  <w:num w:numId="26">
    <w:abstractNumId w:val="19"/>
  </w:num>
  <w:num w:numId="27">
    <w:abstractNumId w:val="14"/>
  </w:num>
  <w:num w:numId="28">
    <w:abstractNumId w:val="23"/>
  </w:num>
  <w:num w:numId="29">
    <w:abstractNumId w:val="17"/>
  </w:num>
  <w:num w:numId="30">
    <w:abstractNumId w:val="39"/>
  </w:num>
  <w:num w:numId="31">
    <w:abstractNumId w:val="18"/>
  </w:num>
  <w:num w:numId="32">
    <w:abstractNumId w:val="15"/>
  </w:num>
  <w:num w:numId="33">
    <w:abstractNumId w:val="27"/>
  </w:num>
  <w:num w:numId="34">
    <w:abstractNumId w:val="1"/>
  </w:num>
  <w:num w:numId="35">
    <w:abstractNumId w:val="42"/>
  </w:num>
  <w:num w:numId="36">
    <w:abstractNumId w:val="35"/>
  </w:num>
  <w:num w:numId="37">
    <w:abstractNumId w:val="47"/>
  </w:num>
  <w:num w:numId="38">
    <w:abstractNumId w:val="26"/>
  </w:num>
  <w:num w:numId="39">
    <w:abstractNumId w:val="41"/>
  </w:num>
  <w:num w:numId="40">
    <w:abstractNumId w:val="20"/>
  </w:num>
  <w:num w:numId="41">
    <w:abstractNumId w:val="28"/>
  </w:num>
  <w:num w:numId="42">
    <w:abstractNumId w:val="16"/>
  </w:num>
  <w:num w:numId="43">
    <w:abstractNumId w:val="9"/>
  </w:num>
  <w:num w:numId="44">
    <w:abstractNumId w:val="33"/>
  </w:num>
  <w:num w:numId="45">
    <w:abstractNumId w:val="6"/>
  </w:num>
  <w:num w:numId="46">
    <w:abstractNumId w:val="8"/>
  </w:num>
  <w:num w:numId="47">
    <w:abstractNumId w:val="3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2244"/>
    <w:rsid w:val="00002405"/>
    <w:rsid w:val="00002411"/>
    <w:rsid w:val="000038C6"/>
    <w:rsid w:val="0000447D"/>
    <w:rsid w:val="00004C42"/>
    <w:rsid w:val="000074A1"/>
    <w:rsid w:val="00010512"/>
    <w:rsid w:val="00012CBA"/>
    <w:rsid w:val="00012CE4"/>
    <w:rsid w:val="000138EB"/>
    <w:rsid w:val="00015223"/>
    <w:rsid w:val="000153D7"/>
    <w:rsid w:val="000153F3"/>
    <w:rsid w:val="000179B5"/>
    <w:rsid w:val="00017E46"/>
    <w:rsid w:val="00020D23"/>
    <w:rsid w:val="000229AD"/>
    <w:rsid w:val="00024D38"/>
    <w:rsid w:val="00025A68"/>
    <w:rsid w:val="00027E1C"/>
    <w:rsid w:val="00032B4C"/>
    <w:rsid w:val="000334DD"/>
    <w:rsid w:val="00034DC5"/>
    <w:rsid w:val="00035418"/>
    <w:rsid w:val="000356FB"/>
    <w:rsid w:val="00040AC3"/>
    <w:rsid w:val="0004116F"/>
    <w:rsid w:val="00043541"/>
    <w:rsid w:val="000437F2"/>
    <w:rsid w:val="00044369"/>
    <w:rsid w:val="00050B40"/>
    <w:rsid w:val="000531D4"/>
    <w:rsid w:val="000557A2"/>
    <w:rsid w:val="00061A7B"/>
    <w:rsid w:val="00062070"/>
    <w:rsid w:val="00064316"/>
    <w:rsid w:val="00064B1B"/>
    <w:rsid w:val="00065D4B"/>
    <w:rsid w:val="00066BE5"/>
    <w:rsid w:val="000716D7"/>
    <w:rsid w:val="00072211"/>
    <w:rsid w:val="0007268C"/>
    <w:rsid w:val="000730E7"/>
    <w:rsid w:val="00075C91"/>
    <w:rsid w:val="00080CD5"/>
    <w:rsid w:val="000826EC"/>
    <w:rsid w:val="0008282F"/>
    <w:rsid w:val="00083A82"/>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3793"/>
    <w:rsid w:val="000B5235"/>
    <w:rsid w:val="000B6EB6"/>
    <w:rsid w:val="000B73C6"/>
    <w:rsid w:val="000B76D5"/>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59AD"/>
    <w:rsid w:val="00147BB0"/>
    <w:rsid w:val="00151B6E"/>
    <w:rsid w:val="00151EF9"/>
    <w:rsid w:val="00152F65"/>
    <w:rsid w:val="00154247"/>
    <w:rsid w:val="001546D6"/>
    <w:rsid w:val="00156118"/>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A22B8"/>
    <w:rsid w:val="001A390E"/>
    <w:rsid w:val="001A7560"/>
    <w:rsid w:val="001B092D"/>
    <w:rsid w:val="001B1B91"/>
    <w:rsid w:val="001B286C"/>
    <w:rsid w:val="001B2CB3"/>
    <w:rsid w:val="001B3434"/>
    <w:rsid w:val="001B37CE"/>
    <w:rsid w:val="001B3BE0"/>
    <w:rsid w:val="001B3E0A"/>
    <w:rsid w:val="001B49A5"/>
    <w:rsid w:val="001B5C50"/>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BA7"/>
    <w:rsid w:val="00264493"/>
    <w:rsid w:val="00270119"/>
    <w:rsid w:val="00270178"/>
    <w:rsid w:val="00270281"/>
    <w:rsid w:val="002721E0"/>
    <w:rsid w:val="002733F2"/>
    <w:rsid w:val="00274766"/>
    <w:rsid w:val="00277478"/>
    <w:rsid w:val="00277818"/>
    <w:rsid w:val="00277AD2"/>
    <w:rsid w:val="00281F25"/>
    <w:rsid w:val="00281F30"/>
    <w:rsid w:val="00281F97"/>
    <w:rsid w:val="00283696"/>
    <w:rsid w:val="00283D6A"/>
    <w:rsid w:val="00286BC8"/>
    <w:rsid w:val="002924E5"/>
    <w:rsid w:val="00296FFC"/>
    <w:rsid w:val="002A0261"/>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E70F8"/>
    <w:rsid w:val="002F11CF"/>
    <w:rsid w:val="002F6201"/>
    <w:rsid w:val="002F6339"/>
    <w:rsid w:val="002F666D"/>
    <w:rsid w:val="002F70DA"/>
    <w:rsid w:val="0030198C"/>
    <w:rsid w:val="00301BA5"/>
    <w:rsid w:val="0030691F"/>
    <w:rsid w:val="00307B09"/>
    <w:rsid w:val="003102A8"/>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D2D"/>
    <w:rsid w:val="00392FB2"/>
    <w:rsid w:val="00393006"/>
    <w:rsid w:val="003934A4"/>
    <w:rsid w:val="0039369C"/>
    <w:rsid w:val="0039411C"/>
    <w:rsid w:val="00395EDB"/>
    <w:rsid w:val="003969E8"/>
    <w:rsid w:val="003976A0"/>
    <w:rsid w:val="003A1101"/>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A38"/>
    <w:rsid w:val="003E6E0F"/>
    <w:rsid w:val="003F0B84"/>
    <w:rsid w:val="003F108B"/>
    <w:rsid w:val="003F2868"/>
    <w:rsid w:val="003F2BB3"/>
    <w:rsid w:val="003F2DD4"/>
    <w:rsid w:val="003F32E3"/>
    <w:rsid w:val="003F568E"/>
    <w:rsid w:val="003F6C44"/>
    <w:rsid w:val="003F7F6F"/>
    <w:rsid w:val="004019D1"/>
    <w:rsid w:val="00403420"/>
    <w:rsid w:val="00403D31"/>
    <w:rsid w:val="004042B1"/>
    <w:rsid w:val="00404A1F"/>
    <w:rsid w:val="00406167"/>
    <w:rsid w:val="00406D59"/>
    <w:rsid w:val="00413B82"/>
    <w:rsid w:val="00414568"/>
    <w:rsid w:val="004147FB"/>
    <w:rsid w:val="00414DA2"/>
    <w:rsid w:val="004165BA"/>
    <w:rsid w:val="004203E1"/>
    <w:rsid w:val="00421B9E"/>
    <w:rsid w:val="0042215C"/>
    <w:rsid w:val="00423669"/>
    <w:rsid w:val="00424A98"/>
    <w:rsid w:val="004252A2"/>
    <w:rsid w:val="00425D1A"/>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950"/>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47F"/>
    <w:rsid w:val="00517A49"/>
    <w:rsid w:val="00522A5F"/>
    <w:rsid w:val="00522DBA"/>
    <w:rsid w:val="00523163"/>
    <w:rsid w:val="00524108"/>
    <w:rsid w:val="00525AFF"/>
    <w:rsid w:val="00526C3F"/>
    <w:rsid w:val="00527053"/>
    <w:rsid w:val="00531DE4"/>
    <w:rsid w:val="00535822"/>
    <w:rsid w:val="00536178"/>
    <w:rsid w:val="00536EDA"/>
    <w:rsid w:val="00537724"/>
    <w:rsid w:val="0053795B"/>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021B"/>
    <w:rsid w:val="00583666"/>
    <w:rsid w:val="005853BE"/>
    <w:rsid w:val="00587248"/>
    <w:rsid w:val="00590160"/>
    <w:rsid w:val="005904B3"/>
    <w:rsid w:val="00593D17"/>
    <w:rsid w:val="00594921"/>
    <w:rsid w:val="0059549C"/>
    <w:rsid w:val="00596541"/>
    <w:rsid w:val="00596931"/>
    <w:rsid w:val="00596EA1"/>
    <w:rsid w:val="005A019B"/>
    <w:rsid w:val="005A4741"/>
    <w:rsid w:val="005B13C4"/>
    <w:rsid w:val="005B1906"/>
    <w:rsid w:val="005B33D8"/>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2CEC"/>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2ADF"/>
    <w:rsid w:val="006832C3"/>
    <w:rsid w:val="00683495"/>
    <w:rsid w:val="006845B8"/>
    <w:rsid w:val="00685CB9"/>
    <w:rsid w:val="0069096F"/>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20123"/>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75E4"/>
    <w:rsid w:val="007C7EF9"/>
    <w:rsid w:val="007D0745"/>
    <w:rsid w:val="007D2603"/>
    <w:rsid w:val="007D560F"/>
    <w:rsid w:val="007D6DB2"/>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3B06"/>
    <w:rsid w:val="008727C0"/>
    <w:rsid w:val="008734E4"/>
    <w:rsid w:val="00873E1C"/>
    <w:rsid w:val="00873E31"/>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6DA1"/>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20EE6"/>
    <w:rsid w:val="009210F3"/>
    <w:rsid w:val="00922214"/>
    <w:rsid w:val="009225E7"/>
    <w:rsid w:val="009229A6"/>
    <w:rsid w:val="00925AEF"/>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2090"/>
    <w:rsid w:val="009B4A23"/>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25975"/>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B3C"/>
    <w:rsid w:val="00A74B9B"/>
    <w:rsid w:val="00A756B4"/>
    <w:rsid w:val="00A77191"/>
    <w:rsid w:val="00A80CAA"/>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678"/>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E12"/>
    <w:rsid w:val="00B76DE4"/>
    <w:rsid w:val="00B778D5"/>
    <w:rsid w:val="00B817C5"/>
    <w:rsid w:val="00B81823"/>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275B4"/>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9B3"/>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324F"/>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EE3"/>
    <w:rsid w:val="00DC34AC"/>
    <w:rsid w:val="00DC3D40"/>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F0021"/>
    <w:rsid w:val="00DF1391"/>
    <w:rsid w:val="00DF46DF"/>
    <w:rsid w:val="00DF53AA"/>
    <w:rsid w:val="00DF76F9"/>
    <w:rsid w:val="00DF7C41"/>
    <w:rsid w:val="00E002CA"/>
    <w:rsid w:val="00E006C1"/>
    <w:rsid w:val="00E01365"/>
    <w:rsid w:val="00E022AF"/>
    <w:rsid w:val="00E03F71"/>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3DA"/>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471C9"/>
    <w:rsid w:val="00F50AB1"/>
    <w:rsid w:val="00F50B4B"/>
    <w:rsid w:val="00F510C7"/>
    <w:rsid w:val="00F51506"/>
    <w:rsid w:val="00F52481"/>
    <w:rsid w:val="00F52A0C"/>
    <w:rsid w:val="00F535EE"/>
    <w:rsid w:val="00F56B0E"/>
    <w:rsid w:val="00F57CDD"/>
    <w:rsid w:val="00F6083C"/>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151</cp:revision>
  <cp:lastPrinted>2019-03-20T09:23:00Z</cp:lastPrinted>
  <dcterms:created xsi:type="dcterms:W3CDTF">2019-02-25T08:08:00Z</dcterms:created>
  <dcterms:modified xsi:type="dcterms:W3CDTF">2019-10-07T03:19:00Z</dcterms:modified>
</cp:coreProperties>
</file>